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B9" w:rsidRPr="008706B9" w:rsidRDefault="008706B9" w:rsidP="008706B9">
      <w:pPr>
        <w:shd w:val="clear" w:color="auto" w:fill="FFFFFF"/>
        <w:spacing w:after="271" w:line="246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0"/>
          <w:szCs w:val="30"/>
        </w:rPr>
      </w:pPr>
      <w:r w:rsidRPr="008706B9">
        <w:rPr>
          <w:rFonts w:ascii="Calibri" w:eastAsia="Times New Roman" w:hAnsi="Calibri" w:cs="Calibri"/>
          <w:b/>
          <w:bCs/>
          <w:caps/>
          <w:color w:val="202731"/>
          <w:kern w:val="36"/>
          <w:sz w:val="30"/>
          <w:szCs w:val="30"/>
        </w:rPr>
        <w:t>СОВЕТЫ УЧАСТНИКАМ ЕГЭ</w:t>
      </w:r>
    </w:p>
    <w:p w:rsidR="008706B9" w:rsidRPr="008706B9" w:rsidRDefault="008706B9" w:rsidP="008706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</w:p>
    <w:p w:rsidR="008706B9" w:rsidRPr="008706B9" w:rsidRDefault="008706B9" w:rsidP="008706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8706B9" w:rsidRPr="008706B9" w:rsidRDefault="008706B9" w:rsidP="008706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8706B9" w:rsidRPr="008706B9" w:rsidRDefault="008706B9" w:rsidP="008706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8706B9" w:rsidRPr="008706B9" w:rsidRDefault="008706B9" w:rsidP="008706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СОВЕТЫ ВЫПУСКНИКАМ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Не стоит бояться ошибок. Известно, что не ошибается тот, кто ничего не делает.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Люди, настроенные на успех, добиваются в жизни гораздо больше, чем те, кто старается избегать неудач.</w:t>
      </w: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br/>
      </w: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b/>
          <w:bCs/>
          <w:color w:val="1F262D"/>
          <w:sz w:val="15"/>
        </w:rPr>
        <w:t>Некоторые полезные приемы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 </w:t>
      </w:r>
      <w:hyperlink r:id="rId5" w:history="1">
        <w:r w:rsidRPr="008706B9">
          <w:rPr>
            <w:rFonts w:ascii="Verdana" w:eastAsia="Times New Roman" w:hAnsi="Verdana" w:cs="Times New Roman"/>
            <w:color w:val="0071BB"/>
            <w:sz w:val="15"/>
            <w:u w:val="single"/>
          </w:rPr>
          <w:t>правилами заполнения бланков</w:t>
        </w:r>
      </w:hyperlink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 тоже можно ознакомиться заранее.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на</w:t>
      </w:r>
      <w:proofErr w:type="gramEnd"/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см</w:t>
      </w:r>
      <w:proofErr w:type="gramEnd"/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. ниже).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Соблюдайте режим сна и отдыха. При усиленных умственных нагрузках стоит увеличить время сна на час.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b/>
          <w:bCs/>
          <w:color w:val="1F262D"/>
          <w:sz w:val="15"/>
        </w:rPr>
        <w:t>Рекомендации по заучиванию материала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Главное - распределение повторений во времени.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Повторять рекомендуется сразу в течение 15-20 минут, через 8-9 часов и через 24 часа.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8706B9" w:rsidRPr="008706B9" w:rsidRDefault="008706B9" w:rsidP="008706B9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5"/>
          <w:szCs w:val="15"/>
        </w:rPr>
      </w:pPr>
      <w:r w:rsidRPr="008706B9">
        <w:rPr>
          <w:rFonts w:ascii="Verdana" w:eastAsia="Times New Roman" w:hAnsi="Verdana" w:cs="Times New Roman"/>
          <w:color w:val="1F262D"/>
          <w:sz w:val="15"/>
          <w:szCs w:val="15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4C556E" w:rsidRDefault="004C556E"/>
    <w:sectPr w:rsidR="004C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13A3"/>
    <w:multiLevelType w:val="multilevel"/>
    <w:tmpl w:val="E534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8706B9"/>
    <w:rsid w:val="004C556E"/>
    <w:rsid w:val="0087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0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6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706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06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edu.ru/ru/main/legal-documents/rosobrnadzor/guidelines/index.php?id_4=27370&amp;from_4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2020-07-10T12:45:00Z</dcterms:created>
  <dcterms:modified xsi:type="dcterms:W3CDTF">2020-07-10T12:46:00Z</dcterms:modified>
</cp:coreProperties>
</file>